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480" w:afterAutospacing="0" w:line="15" w:lineRule="atLeast"/>
        <w:ind w:left="-225" w:right="-225"/>
        <w:rPr>
          <w:rFonts w:ascii="Arial" w:hAnsi="Arial" w:eastAsia="Arial" w:cs="Arial"/>
          <w:color w:val="212529"/>
          <w:sz w:val="36"/>
          <w:szCs w:val="36"/>
        </w:rPr>
      </w:pPr>
      <w:r>
        <w:rPr>
          <w:rStyle w:val="6"/>
          <w:rFonts w:hint="default" w:ascii="Arial" w:hAnsi="Arial" w:eastAsia="Arial" w:cs="Arial"/>
          <w:b/>
          <w:bCs/>
          <w:i w:val="0"/>
          <w:iCs w:val="0"/>
          <w:caps w:val="0"/>
          <w:color w:val="212529"/>
          <w:spacing w:val="0"/>
          <w:sz w:val="36"/>
          <w:szCs w:val="36"/>
          <w:bdr w:val="none" w:color="auto" w:sz="0" w:space="0"/>
          <w:shd w:val="clear" w:fill="FEFEFE"/>
        </w:rPr>
        <w:t>Политика в отношении обработки персональных данных</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1. Общие положения</w:t>
      </w:r>
    </w:p>
    <w:p>
      <w:pPr>
        <w:keepNext w:val="0"/>
        <w:keepLines w:val="0"/>
        <w:widowControl/>
        <w:suppressLineNumbers w:val="0"/>
        <w:pBdr>
          <w:left w:val="none" w:color="auto" w:sz="0" w:space="0"/>
          <w:right w:val="none" w:color="auto" w:sz="0" w:space="0"/>
        </w:pBdr>
        <w:shd w:val="clear" w:fill="FEFEFE"/>
        <w:spacing w:after="36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BMLOGISTICS FAR EAST</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(далее — Оператор).</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https://bml-dv.com/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2. Основные понятия, используемые в Политике</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2.1. Автоматизированная обработка персональных данных — обработка персональных данных с помощью средств вычислительной техники.</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https://bml-dv.com/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2.8. Персональные данные — любая информация, относящаяся прямо или косвенно к определенному или определяемому Пользователю веб-сайта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https://bml-dv.com/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2.10. Пользователь — любой посетитель веб-сайта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https://bml-dv.com/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3. Основные права и обязанности Оператора</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3.1. Оператор имеет право:</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получать от субъекта персональных данных достоверные информацию и/или документы, содержащие персональные данные;</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3.2. Оператор обязан:</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предоставлять субъекту персональных данных по его просьбе информацию, касающуюся обработки его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организовывать обработку персональных данных в порядке, установленном действующим законодательством РФ;</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публиковать или иным образом обеспечивать неограниченный доступ к настоящей Политике в отношении обработки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исполнять иные обязанности, предусмотренные Законом о персональных данных.</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4. Основные права и обязанности субъектов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4.1. Субъекты персональных данных имеют право:</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выдвигать условие предварительного согласия при обработке персональных данных в целях продвижения на рынке товаров, работ и услуг;</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на отзыв согласия на обработку персональных данных, а также, на направление требования о прекращении обработки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на осуществление иных прав, предусмотренных законодательством РФ.</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4.2. Субъекты персональных данных обязаны:</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предоставлять Оператору достоверные данные о себе;</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сообщать Оператору об уточнении (обновлении, изменении) своих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5. Принципы обработки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5.1. Обработка персональных данных осуществляется на законной и справедливой основе.</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5.3. Не допускается объединение баз данных, содержащих персональные данные, обработка которых осуществляется в целях, несовместимых между собой.</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5.4. Обработке подлежат только персональные данные, которые отвечают целям их обработки.</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6. Цели обработки персональных данных</w:t>
      </w:r>
    </w:p>
    <w:tbl>
      <w:tblPr>
        <w:tblW w:w="0" w:type="auto"/>
        <w:tblInd w:w="-225" w:type="dxa"/>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000"/>
        <w:gridCol w:w="5873"/>
      </w:tblGrid>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shd w:val="clear"/>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suppressLineNumbers w:val="0"/>
              <w:jc w:val="left"/>
              <w:textAlignment w:val="top"/>
              <w:rPr>
                <w:rFonts w:hint="default" w:ascii="Arial" w:hAnsi="Arial" w:eastAsia="Arial" w:cs="Arial"/>
                <w:color w:val="212529"/>
              </w:rPr>
            </w:pPr>
            <w:r>
              <w:rPr>
                <w:rFonts w:hint="default" w:ascii="Arial" w:hAnsi="Arial" w:eastAsia="Arial" w:cs="Arial"/>
                <w:color w:val="212529"/>
                <w:kern w:val="0"/>
                <w:sz w:val="24"/>
                <w:szCs w:val="24"/>
                <w:bdr w:val="none" w:color="auto" w:sz="0" w:space="0"/>
                <w:lang w:val="en-US" w:eastAsia="zh-CN" w:bidi="ar"/>
              </w:rPr>
              <w:t>Цель обработки</w:t>
            </w:r>
          </w:p>
        </w:tc>
        <w:tc>
          <w:tcPr>
            <w:tcW w:w="0" w:type="auto"/>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suppressLineNumbers w:val="0"/>
              <w:jc w:val="left"/>
              <w:textAlignment w:val="top"/>
              <w:rPr>
                <w:rFonts w:hint="default" w:ascii="Arial" w:hAnsi="Arial" w:eastAsia="Arial" w:cs="Arial"/>
                <w:color w:val="212529"/>
              </w:rPr>
            </w:pPr>
            <w:r>
              <w:rPr>
                <w:rFonts w:hint="default" w:ascii="Arial" w:hAnsi="Arial" w:eastAsia="Arial" w:cs="Arial"/>
                <w:color w:val="212529"/>
                <w:kern w:val="0"/>
                <w:sz w:val="24"/>
                <w:szCs w:val="24"/>
                <w:bdr w:val="none" w:color="auto" w:sz="0" w:space="0"/>
                <w:shd w:val="clear" w:fill="FCF8E3"/>
                <w:lang w:val="en-US" w:eastAsia="zh-CN" w:bidi="ar"/>
              </w:rPr>
              <w:t>информирование Пользователя посредством звонка на телефон</w:t>
            </w:r>
          </w:p>
        </w:tc>
      </w:tr>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shd w:val="clear"/>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suppressLineNumbers w:val="0"/>
              <w:jc w:val="left"/>
              <w:textAlignment w:val="top"/>
              <w:rPr>
                <w:rFonts w:hint="default" w:ascii="Arial" w:hAnsi="Arial" w:eastAsia="Arial" w:cs="Arial"/>
                <w:color w:val="212529"/>
              </w:rPr>
            </w:pPr>
            <w:r>
              <w:rPr>
                <w:rFonts w:hint="default" w:ascii="Arial" w:hAnsi="Arial" w:eastAsia="Arial" w:cs="Arial"/>
                <w:color w:val="212529"/>
                <w:kern w:val="0"/>
                <w:sz w:val="24"/>
                <w:szCs w:val="24"/>
                <w:bdr w:val="none" w:color="auto" w:sz="0" w:space="0"/>
                <w:lang w:val="en-US" w:eastAsia="zh-CN" w:bidi="ar"/>
              </w:rPr>
              <w:t>Персональные данные</w:t>
            </w:r>
          </w:p>
        </w:tc>
        <w:tc>
          <w:tcPr>
            <w:tcW w:w="0" w:type="auto"/>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numPr>
                <w:ilvl w:val="0"/>
                <w:numId w:val="1"/>
              </w:numPr>
              <w:suppressLineNumbers w:val="0"/>
              <w:spacing w:before="0" w:beforeAutospacing="1" w:after="0" w:afterAutospacing="0"/>
              <w:ind w:left="0" w:hanging="360"/>
              <w:rPr>
                <w:rFonts w:hint="default" w:ascii="Arial" w:hAnsi="Arial" w:eastAsia="Arial" w:cs="Arial"/>
                <w:color w:val="212529"/>
              </w:rPr>
            </w:pPr>
            <w:r>
              <w:rPr>
                <w:rFonts w:hint="default" w:ascii="Arial" w:hAnsi="Arial" w:eastAsia="Arial" w:cs="Arial"/>
                <w:color w:val="212529"/>
                <w:bdr w:val="none" w:color="auto" w:sz="0" w:space="0"/>
                <w:shd w:val="clear" w:fill="FCF8E3"/>
              </w:rPr>
              <w:t>фамилия, имя, отчество</w:t>
            </w:r>
          </w:p>
          <w:p>
            <w:pPr>
              <w:keepNext w:val="0"/>
              <w:keepLines w:val="0"/>
              <w:widowControl/>
              <w:numPr>
                <w:ilvl w:val="0"/>
                <w:numId w:val="1"/>
              </w:numPr>
              <w:suppressLineNumbers w:val="0"/>
              <w:spacing w:before="0" w:beforeAutospacing="1" w:after="0" w:afterAutospacing="1"/>
              <w:ind w:left="0" w:hanging="360"/>
              <w:rPr>
                <w:rFonts w:hint="default" w:ascii="Arial" w:hAnsi="Arial" w:eastAsia="Arial" w:cs="Arial"/>
                <w:color w:val="212529"/>
              </w:rPr>
            </w:pPr>
            <w:r>
              <w:rPr>
                <w:rFonts w:hint="default" w:ascii="Arial" w:hAnsi="Arial" w:eastAsia="Arial" w:cs="Arial"/>
                <w:color w:val="212529"/>
                <w:bdr w:val="none" w:color="auto" w:sz="0" w:space="0"/>
                <w:shd w:val="clear" w:fill="FCF8E3"/>
              </w:rPr>
              <w:t>номера телефонов</w:t>
            </w:r>
          </w:p>
        </w:tc>
      </w:tr>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suppressLineNumbers w:val="0"/>
              <w:jc w:val="left"/>
              <w:textAlignment w:val="top"/>
              <w:rPr>
                <w:rFonts w:hint="default" w:ascii="Arial" w:hAnsi="Arial" w:eastAsia="Arial" w:cs="Arial"/>
                <w:color w:val="212529"/>
              </w:rPr>
            </w:pPr>
            <w:r>
              <w:rPr>
                <w:rFonts w:hint="default" w:ascii="Arial" w:hAnsi="Arial" w:eastAsia="Arial" w:cs="Arial"/>
                <w:color w:val="212529"/>
                <w:kern w:val="0"/>
                <w:sz w:val="24"/>
                <w:szCs w:val="24"/>
                <w:bdr w:val="none" w:color="auto" w:sz="0" w:space="0"/>
                <w:lang w:val="en-US" w:eastAsia="zh-CN" w:bidi="ar"/>
              </w:rPr>
              <w:t>Правовые основания</w:t>
            </w:r>
          </w:p>
        </w:tc>
        <w:tc>
          <w:tcPr>
            <w:tcW w:w="0" w:type="auto"/>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numPr>
                <w:ilvl w:val="0"/>
                <w:numId w:val="2"/>
              </w:numPr>
              <w:suppressLineNumbers w:val="0"/>
              <w:spacing w:before="0" w:beforeAutospacing="1" w:after="0" w:afterAutospacing="0"/>
              <w:ind w:left="0" w:hanging="360"/>
              <w:rPr>
                <w:rFonts w:hint="default" w:ascii="Arial" w:hAnsi="Arial" w:eastAsia="Arial" w:cs="Arial"/>
                <w:color w:val="212529"/>
              </w:rPr>
            </w:pPr>
            <w:r>
              <w:rPr>
                <w:rFonts w:hint="default" w:ascii="Arial" w:hAnsi="Arial" w:eastAsia="Arial" w:cs="Arial"/>
                <w:color w:val="212529"/>
                <w:bdr w:val="none" w:color="auto" w:sz="0" w:space="0"/>
                <w:shd w:val="clear" w:fill="FCF8E3"/>
              </w:rPr>
              <w:t>уставные (учредительные) документы Оператора</w:t>
            </w:r>
          </w:p>
          <w:p>
            <w:pPr>
              <w:keepNext w:val="0"/>
              <w:keepLines w:val="0"/>
              <w:widowControl/>
              <w:numPr>
                <w:ilvl w:val="0"/>
                <w:numId w:val="2"/>
              </w:numPr>
              <w:suppressLineNumbers w:val="0"/>
              <w:spacing w:before="0" w:beforeAutospacing="1" w:after="0" w:afterAutospacing="1"/>
              <w:ind w:left="0" w:hanging="360"/>
              <w:rPr>
                <w:rFonts w:hint="default" w:ascii="Arial" w:hAnsi="Arial" w:eastAsia="Arial" w:cs="Arial"/>
                <w:color w:val="212529"/>
              </w:rPr>
            </w:pPr>
            <w:r>
              <w:rPr>
                <w:rFonts w:hint="default" w:ascii="Arial" w:hAnsi="Arial" w:eastAsia="Arial" w:cs="Arial"/>
                <w:color w:val="212529"/>
                <w:bdr w:val="none" w:color="auto" w:sz="0" w:space="0"/>
                <w:shd w:val="clear" w:fill="FCF8E3"/>
              </w:rPr>
              <w:t>договоры, заключаемые между оператором и субъектом персональных данных</w:t>
            </w:r>
          </w:p>
        </w:tc>
      </w:tr>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suppressLineNumbers w:val="0"/>
              <w:jc w:val="left"/>
              <w:textAlignment w:val="top"/>
              <w:rPr>
                <w:rFonts w:hint="default" w:ascii="Arial" w:hAnsi="Arial" w:eastAsia="Arial" w:cs="Arial"/>
                <w:color w:val="212529"/>
              </w:rPr>
            </w:pPr>
            <w:r>
              <w:rPr>
                <w:rFonts w:hint="default" w:ascii="Arial" w:hAnsi="Arial" w:eastAsia="Arial" w:cs="Arial"/>
                <w:color w:val="212529"/>
                <w:kern w:val="0"/>
                <w:sz w:val="24"/>
                <w:szCs w:val="24"/>
                <w:bdr w:val="none" w:color="auto" w:sz="0" w:space="0"/>
                <w:lang w:val="en-US" w:eastAsia="zh-CN" w:bidi="ar"/>
              </w:rPr>
              <w:t>Виды обработки персональных данных</w:t>
            </w:r>
          </w:p>
        </w:tc>
        <w:tc>
          <w:tcPr>
            <w:tcW w:w="0" w:type="auto"/>
            <w:tcBorders>
              <w:top w:val="single" w:color="D8D8D8" w:sz="6" w:space="0"/>
              <w:left w:val="single" w:color="D8D8D8" w:sz="6" w:space="0"/>
              <w:bottom w:val="single" w:color="D8D8D8" w:sz="6" w:space="0"/>
              <w:right w:val="single" w:color="D8D8D8" w:sz="6" w:space="0"/>
            </w:tcBorders>
            <w:shd w:val="clear"/>
            <w:tcMar>
              <w:top w:w="0" w:type="dxa"/>
              <w:left w:w="0" w:type="dxa"/>
              <w:bottom w:w="0" w:type="dxa"/>
              <w:right w:w="0" w:type="dxa"/>
            </w:tcMar>
            <w:vAlign w:val="top"/>
          </w:tcPr>
          <w:p>
            <w:pPr>
              <w:keepNext w:val="0"/>
              <w:keepLines w:val="0"/>
              <w:widowControl/>
              <w:numPr>
                <w:ilvl w:val="0"/>
                <w:numId w:val="3"/>
              </w:numPr>
              <w:suppressLineNumbers w:val="0"/>
              <w:spacing w:before="0" w:beforeAutospacing="1" w:after="0" w:afterAutospacing="1"/>
              <w:ind w:left="0" w:hanging="360"/>
              <w:rPr>
                <w:rFonts w:hint="default" w:ascii="Arial" w:hAnsi="Arial" w:eastAsia="Arial" w:cs="Arial"/>
                <w:color w:val="212529"/>
              </w:rPr>
            </w:pPr>
            <w:r>
              <w:rPr>
                <w:rFonts w:hint="default" w:ascii="Arial" w:hAnsi="Arial" w:eastAsia="Arial" w:cs="Arial"/>
                <w:color w:val="212529"/>
                <w:bdr w:val="none" w:color="auto" w:sz="0" w:space="0"/>
                <w:shd w:val="clear" w:fill="FCF8E3"/>
              </w:rPr>
              <w:t>Сбор, запись, систематизация, накопление, хранение, уничтожение и обезличивание персональных данных</w:t>
            </w:r>
          </w:p>
        </w:tc>
      </w:tr>
    </w:tbl>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7. Условия обработки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7.1. Обработка персональных данных осуществляется с согласия субъекта персональных данных на обработку его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7.7.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8. Порядок сбора, хранения, передачи и других видов обработки персональных данных</w:t>
      </w:r>
    </w:p>
    <w:p>
      <w:pPr>
        <w:keepNext w:val="0"/>
        <w:keepLines w:val="0"/>
        <w:widowControl/>
        <w:suppressLineNumbers w:val="0"/>
        <w:pBdr>
          <w:left w:val="none" w:color="auto" w:sz="0" w:space="0"/>
          <w:right w:val="none" w:color="auto" w:sz="0" w:space="0"/>
        </w:pBdr>
        <w:shd w:val="clear" w:fill="FEFEFE"/>
        <w:spacing w:after="36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info@bml-dv.com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с пометкой «Актуализация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br w:type="textWrapping"/>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info@bml-dv.com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 с пометкой «Отзыв согласия на обработку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8.7. Оператор при обработке персональных данных обеспечивает конфиденциальность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9. Перечень действий, производимых Оператором с полученными персональными данными</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10. Трансграничная передача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11. Конфиденциальность персональных данных</w:t>
      </w:r>
    </w:p>
    <w:p>
      <w:pPr>
        <w:keepNext w:val="0"/>
        <w:keepLines w:val="0"/>
        <w:widowControl/>
        <w:suppressLineNumbers w:val="0"/>
        <w:pBdr>
          <w:left w:val="none" w:color="auto" w:sz="0" w:space="0"/>
          <w:right w:val="none" w:color="auto" w:sz="0" w:space="0"/>
        </w:pBdr>
        <w:shd w:val="clear" w:fill="FEFEFE"/>
        <w:spacing w:after="36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3"/>
        <w:keepNext w:val="0"/>
        <w:keepLines w:val="0"/>
        <w:widowControl/>
        <w:suppressLineNumbers w:val="0"/>
        <w:spacing w:before="0" w:beforeAutospacing="0" w:after="720" w:afterAutospacing="0" w:line="15" w:lineRule="atLeast"/>
        <w:ind w:left="-225" w:right="-225"/>
        <w:rPr>
          <w:rFonts w:hint="default" w:ascii="Arial" w:hAnsi="Arial" w:eastAsia="Arial" w:cs="Arial"/>
          <w:color w:val="212529"/>
          <w:sz w:val="30"/>
          <w:szCs w:val="30"/>
        </w:rPr>
      </w:pPr>
      <w:r>
        <w:rPr>
          <w:rFonts w:hint="default" w:ascii="Arial" w:hAnsi="Arial" w:eastAsia="Arial" w:cs="Arial"/>
          <w:i w:val="0"/>
          <w:iCs w:val="0"/>
          <w:caps w:val="0"/>
          <w:color w:val="212529"/>
          <w:spacing w:val="0"/>
          <w:sz w:val="30"/>
          <w:szCs w:val="30"/>
          <w:bdr w:val="none" w:color="auto" w:sz="0" w:space="0"/>
          <w:shd w:val="clear" w:fill="FEFEFE"/>
        </w:rPr>
        <w:t>12. Заключительные положения</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info@bml-dv.com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keepNext w:val="0"/>
        <w:keepLines w:val="0"/>
        <w:widowControl/>
        <w:suppressLineNumbers w:val="0"/>
        <w:pBdr>
          <w:left w:val="none" w:color="auto" w:sz="0" w:space="0"/>
        </w:pBdr>
        <w:shd w:val="clear" w:fill="FEFEFE"/>
        <w:spacing w:after="600" w:afterAutospacing="0"/>
        <w:ind w:left="-225" w:right="-225" w:firstLine="0"/>
        <w:jc w:val="left"/>
        <w:rPr>
          <w:rFonts w:hint="default" w:ascii="Arial" w:hAnsi="Arial" w:eastAsia="Arial" w:cs="Arial"/>
          <w:i w:val="0"/>
          <w:iCs w:val="0"/>
          <w:caps w:val="0"/>
          <w:color w:val="212529"/>
          <w:spacing w:val="0"/>
          <w:sz w:val="24"/>
          <w:szCs w:val="24"/>
        </w:rPr>
      </w:pP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12.3. Актуальная версия Политики в свободном доступе расположена в сети Интернет по адресу </w:t>
      </w:r>
      <w:r>
        <w:rPr>
          <w:rFonts w:hint="default" w:ascii="Arial" w:hAnsi="Arial" w:eastAsia="Arial" w:cs="Arial"/>
          <w:i w:val="0"/>
          <w:iCs w:val="0"/>
          <w:caps w:val="0"/>
          <w:color w:val="212529"/>
          <w:spacing w:val="0"/>
          <w:kern w:val="0"/>
          <w:sz w:val="24"/>
          <w:szCs w:val="24"/>
          <w:bdr w:val="none" w:color="auto" w:sz="0" w:space="0"/>
          <w:shd w:val="clear" w:fill="FCF8E3"/>
          <w:lang w:val="en-US" w:eastAsia="zh-CN" w:bidi="ar"/>
        </w:rPr>
        <w:t>https://bml-dv.com/</w:t>
      </w:r>
      <w:r>
        <w:rPr>
          <w:rFonts w:hint="default" w:ascii="Arial" w:hAnsi="Arial" w:eastAsia="Arial" w:cs="Arial"/>
          <w:i w:val="0"/>
          <w:iCs w:val="0"/>
          <w:caps w:val="0"/>
          <w:color w:val="212529"/>
          <w:spacing w:val="0"/>
          <w:kern w:val="0"/>
          <w:sz w:val="24"/>
          <w:szCs w:val="24"/>
          <w:bdr w:val="none" w:color="auto" w:sz="0" w:space="0"/>
          <w:shd w:val="clear" w:fill="FEFEFE"/>
          <w:lang w:val="en-US" w:eastAsia="zh-CN" w:bidi="ar"/>
        </w:rPr>
        <w:t>.</w:t>
      </w:r>
    </w:p>
    <w:p>
      <w:bookmarkStart w:id="0" w:name="_GoBack"/>
      <w:bookmarkEnd w:id="0"/>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1"/>
    <w:family w:val="auto"/>
    <w:pitch w:val="default"/>
    <w:sig w:usb0="800001E3" w:usb1="1200FFEF" w:usb2="00040000" w:usb3="04000000" w:csb0="00000001" w:csb1="4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106B6B"/>
    <w:multiLevelType w:val="multilevel"/>
    <w:tmpl w:val="EC106B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7927B3C"/>
    <w:multiLevelType w:val="multilevel"/>
    <w:tmpl w:val="17927B3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7FFAB775"/>
    <w:multiLevelType w:val="multilevel"/>
    <w:tmpl w:val="7FFAB7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CC19C1"/>
    <w:rsid w:val="7250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asciiTheme="minorHAnsi" w:hAnsiTheme="minorHAnsi" w:cstheme="minorBidi"/>
      <w:kern w:val="2"/>
      <w:sz w:val="21"/>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3">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2023-08-04T06:41:00Z</dcterms:created>
  <dc:creator>gubli</dc:creator>
  <cp:lastModifiedBy>gubli</cp:lastModifiedBy>
  <dcterms:modified xsi:type="dcterms:W3CDTF">2023-08-04T06:47:55Z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C31CCD520DC04EF8A770E358B8B89134</vt:lpwstr>
  </property>
</Properties>
</file>